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385EFE" w:rsidRPr="00385EFE">
        <w:rPr>
          <w:rFonts w:eastAsia="TimesNewRomanPSMT"/>
          <w:b/>
          <w:color w:val="000000"/>
          <w:lang w:eastAsia="en-US"/>
        </w:rPr>
        <w:t>"B</w:t>
      </w:r>
      <w:r w:rsidR="00CA699B" w:rsidRPr="00385EFE">
        <w:rPr>
          <w:rFonts w:eastAsia="TimesNewRomanPSMT"/>
          <w:b/>
          <w:color w:val="000000"/>
          <w:lang w:eastAsia="en-US"/>
        </w:rPr>
        <w:t>udowa kanalizacji sanitarnej w ul. Kieleckiej w Suchedniowie"</w:t>
      </w:r>
      <w:r w:rsidR="00CA699B" w:rsidRPr="00CA699B">
        <w:rPr>
          <w:rFonts w:eastAsia="TimesNewRomanPSMT"/>
          <w:color w:val="000000"/>
          <w:lang w:eastAsia="en-US"/>
        </w:rPr>
        <w:t xml:space="preserve"> </w:t>
      </w: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Jeżeli Zamawiający w terminie 14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80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C1" w:rsidRDefault="005446C1" w:rsidP="008D51B0">
      <w:r>
        <w:separator/>
      </w:r>
    </w:p>
  </w:endnote>
  <w:endnote w:type="continuationSeparator" w:id="0">
    <w:p w:rsidR="005446C1" w:rsidRDefault="005446C1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E2" w:rsidRDefault="00DD4B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D4BE2" w:rsidRPr="00DD4BE2" w:rsidTr="00191C7B">
      <w:tc>
        <w:tcPr>
          <w:tcW w:w="1843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BE2" w:rsidRDefault="00DD4BE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E2" w:rsidRDefault="00DD4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C1" w:rsidRDefault="005446C1" w:rsidP="008D51B0">
      <w:r>
        <w:separator/>
      </w:r>
    </w:p>
  </w:footnote>
  <w:footnote w:type="continuationSeparator" w:id="0">
    <w:p w:rsidR="005446C1" w:rsidRDefault="005446C1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E2" w:rsidRDefault="00DD4B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Oznaczenie postępowania: GNI.271.1.2021.AJ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E2" w:rsidRDefault="00DD4B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426A7"/>
    <w:rsid w:val="00654A10"/>
    <w:rsid w:val="006E1498"/>
    <w:rsid w:val="006E2AB2"/>
    <w:rsid w:val="006F123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F87B-02F3-47A8-86E7-BA50F6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5</cp:revision>
  <cp:lastPrinted>2021-06-30T12:30:00Z</cp:lastPrinted>
  <dcterms:created xsi:type="dcterms:W3CDTF">2021-08-22T17:48:00Z</dcterms:created>
  <dcterms:modified xsi:type="dcterms:W3CDTF">2021-08-23T06:09:00Z</dcterms:modified>
</cp:coreProperties>
</file>