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3" w:rsidRDefault="000C0F43" w:rsidP="00A34597">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spacing w:line="276" w:lineRule="auto"/>
        <w:jc w:val="right"/>
        <w:rPr>
          <w:b/>
          <w:sz w:val="22"/>
        </w:rPr>
      </w:pPr>
    </w:p>
    <w:tbl>
      <w:tblPr>
        <w:tblW w:w="9072" w:type="dxa"/>
        <w:jc w:val="center"/>
        <w:tblCellMar>
          <w:left w:w="0" w:type="dxa"/>
          <w:right w:w="0" w:type="dxa"/>
        </w:tblCellMar>
        <w:tblLook w:val="04A0" w:firstRow="1" w:lastRow="0" w:firstColumn="1" w:lastColumn="0" w:noHBand="0" w:noVBand="1"/>
      </w:tblPr>
      <w:tblGrid>
        <w:gridCol w:w="1843"/>
        <w:gridCol w:w="2693"/>
        <w:gridCol w:w="2058"/>
        <w:gridCol w:w="2478"/>
      </w:tblGrid>
      <w:tr w:rsidR="00A34597" w:rsidRPr="00A34597" w:rsidTr="00A34597">
        <w:trPr>
          <w:jc w:val="center"/>
        </w:trPr>
        <w:tc>
          <w:tcPr>
            <w:tcW w:w="1843" w:type="dxa"/>
            <w:tcMar>
              <w:left w:w="0" w:type="dxa"/>
              <w:right w:w="0" w:type="dxa"/>
            </w:tcMar>
          </w:tcPr>
          <w:p w:rsidR="00A34597" w:rsidRPr="00A34597" w:rsidRDefault="00A34597" w:rsidP="00A34597">
            <w:pPr>
              <w:rPr>
                <w:rFonts w:ascii="Calibri" w:hAnsi="Calibri"/>
                <w:noProof/>
                <w:sz w:val="24"/>
                <w:szCs w:val="24"/>
              </w:rPr>
            </w:pPr>
            <w:r w:rsidRPr="00A34597">
              <w:rPr>
                <w:rFonts w:ascii="Calibri" w:hAnsi="Calibri"/>
                <w:noProof/>
                <w:sz w:val="24"/>
                <w:szCs w:val="24"/>
              </w:rPr>
              <w:drawing>
                <wp:inline distT="0" distB="0" distL="0" distR="0" wp14:anchorId="3CB22FAF" wp14:editId="1ADC23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A34597" w:rsidRPr="00A34597" w:rsidRDefault="00A34597" w:rsidP="00A34597">
            <w:pPr>
              <w:ind w:left="48"/>
              <w:jc w:val="center"/>
              <w:rPr>
                <w:rFonts w:ascii="Calibri" w:hAnsi="Calibri"/>
                <w:noProof/>
                <w:sz w:val="24"/>
                <w:szCs w:val="24"/>
              </w:rPr>
            </w:pPr>
            <w:r w:rsidRPr="00A34597">
              <w:rPr>
                <w:rFonts w:ascii="Calibri" w:hAnsi="Calibri"/>
                <w:noProof/>
                <w:sz w:val="24"/>
                <w:szCs w:val="24"/>
              </w:rPr>
              <w:drawing>
                <wp:inline distT="0" distB="0" distL="0" distR="0" wp14:anchorId="0A58C695" wp14:editId="0AC6E7D2">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A34597" w:rsidRPr="00A34597" w:rsidRDefault="00A34597" w:rsidP="00A34597">
            <w:pPr>
              <w:ind w:left="-1"/>
              <w:jc w:val="center"/>
              <w:rPr>
                <w:rFonts w:ascii="Calibri" w:hAnsi="Calibri"/>
                <w:noProof/>
                <w:sz w:val="24"/>
                <w:szCs w:val="24"/>
              </w:rPr>
            </w:pPr>
            <w:r w:rsidRPr="00A34597">
              <w:rPr>
                <w:rFonts w:ascii="Calibri" w:hAnsi="Calibri"/>
                <w:noProof/>
                <w:sz w:val="24"/>
                <w:szCs w:val="24"/>
              </w:rPr>
              <w:drawing>
                <wp:inline distT="0" distB="0" distL="0" distR="0" wp14:anchorId="0BB824C8" wp14:editId="3267B6B1">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A34597" w:rsidRPr="00A34597" w:rsidRDefault="00A34597" w:rsidP="00A34597">
            <w:pPr>
              <w:ind w:right="-1"/>
              <w:jc w:val="right"/>
              <w:rPr>
                <w:rFonts w:ascii="Calibri" w:hAnsi="Calibri"/>
                <w:noProof/>
                <w:sz w:val="24"/>
                <w:szCs w:val="24"/>
              </w:rPr>
            </w:pPr>
            <w:r w:rsidRPr="00A34597">
              <w:rPr>
                <w:rFonts w:ascii="Calibri" w:hAnsi="Calibri"/>
                <w:noProof/>
                <w:sz w:val="24"/>
                <w:szCs w:val="24"/>
              </w:rPr>
              <w:drawing>
                <wp:inline distT="0" distB="0" distL="0" distR="0" wp14:anchorId="4FD87A51" wp14:editId="3ED96359">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667C5" w:rsidRPr="008077ED" w:rsidRDefault="00D667C5" w:rsidP="00A34597">
      <w:pPr>
        <w:spacing w:line="276" w:lineRule="auto"/>
        <w:ind w:left="9204"/>
        <w:jc w:val="center"/>
        <w:rPr>
          <w:rFonts w:asciiTheme="minorHAnsi" w:hAnsiTheme="minorHAnsi" w:cstheme="minorHAnsi"/>
        </w:rPr>
      </w:pP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A34597" w:rsidRPr="00A34597">
        <w:rPr>
          <w:rFonts w:eastAsia="TimesNewRomanPSMT"/>
          <w:b/>
          <w:bCs/>
          <w:color w:val="000000"/>
          <w:sz w:val="22"/>
          <w:szCs w:val="22"/>
          <w:lang w:eastAsia="en-US"/>
        </w:rPr>
        <w:t>GNI…..2021.</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…………2021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 xml:space="preserve">„Budowa kanalizacji sanitarnej w ul. Kieleckiej w Suchedniowie” </w:t>
      </w:r>
      <w:r w:rsidR="00A34597" w:rsidRPr="00A34597">
        <w:rPr>
          <w:rFonts w:eastAsia="TimesNewRomanPSMT"/>
          <w:i/>
          <w:color w:val="000000"/>
          <w:sz w:val="22"/>
          <w:szCs w:val="22"/>
          <w:lang w:eastAsia="en-US"/>
        </w:rPr>
        <w:t xml:space="preserve">oznaczenie postępowania: GNI.271.1.2021.AJ,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 xml:space="preserve">„Budowa kanalizacji sanitarnej </w:t>
      </w:r>
      <w:r w:rsidR="00A34597">
        <w:rPr>
          <w:rFonts w:eastAsia="TimesNewRomanPSMT"/>
          <w:b/>
          <w:bCs/>
          <w:color w:val="000000"/>
          <w:sz w:val="22"/>
          <w:lang w:eastAsia="en-US"/>
        </w:rPr>
        <w:br/>
      </w:r>
      <w:r w:rsidR="00A34597" w:rsidRPr="00A34597">
        <w:rPr>
          <w:rFonts w:eastAsia="TimesNewRomanPSMT"/>
          <w:b/>
          <w:bCs/>
          <w:color w:val="000000"/>
          <w:sz w:val="22"/>
          <w:lang w:eastAsia="en-US"/>
        </w:rPr>
        <w:t xml:space="preserve">w ul. Kieleckiej w Suchedniowie”.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Cs/>
          <w:color w:val="000000"/>
          <w:sz w:val="22"/>
          <w:lang w:eastAsia="en-US"/>
        </w:rPr>
      </w:pPr>
      <w:r w:rsidRPr="00A34597">
        <w:rPr>
          <w:rFonts w:eastAsia="TimesNewRomanPSMT"/>
          <w:bCs/>
          <w:color w:val="000000"/>
          <w:sz w:val="22"/>
          <w:lang w:eastAsia="en-US"/>
        </w:rPr>
        <w:t xml:space="preserve">Zadanie realizowane będzie w oparciu o zadanie budżetowe pn.: „Budowa kanalizacji sanitarnej w ul. Kieleckiej i w ul. </w:t>
      </w:r>
      <w:r>
        <w:rPr>
          <w:rFonts w:eastAsia="TimesNewRomanPSMT"/>
          <w:bCs/>
          <w:color w:val="000000"/>
          <w:sz w:val="22"/>
          <w:lang w:eastAsia="en-US"/>
        </w:rPr>
        <w:t>W</w:t>
      </w:r>
      <w:r w:rsidRPr="00A34597">
        <w:rPr>
          <w:rFonts w:eastAsia="TimesNewRomanPSMT"/>
          <w:bCs/>
          <w:color w:val="000000"/>
          <w:sz w:val="22"/>
          <w:lang w:eastAsia="en-US"/>
        </w:rPr>
        <w:t xml:space="preserve">arszawskiej w Suchedniowie”.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 xml:space="preserve">Zadanie dofinansowane jest ze środków Regionalnego Programu Operacyjnego Województwa Świętokrzyskiego 2014 – 2020. </w:t>
      </w:r>
    </w:p>
    <w:p w:rsidR="008077ED" w:rsidRPr="00A34597" w:rsidRDefault="00856280" w:rsidP="00A34597">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SST i </w:t>
      </w:r>
      <w:r w:rsidR="00A34597" w:rsidRPr="00A34597">
        <w:rPr>
          <w:rFonts w:eastAsia="TimesNewRomanPSMT"/>
          <w:color w:val="000000"/>
          <w:sz w:val="22"/>
          <w:lang w:eastAsia="en-US"/>
        </w:rPr>
        <w:t xml:space="preserve">przedmiarze robót. </w:t>
      </w:r>
    </w:p>
    <w:p w:rsidR="00856280" w:rsidRPr="00C36FC5" w:rsidRDefault="00856280" w:rsidP="00C36FC5">
      <w:pPr>
        <w:autoSpaceDE w:val="0"/>
        <w:autoSpaceDN w:val="0"/>
        <w:adjustRightInd w:val="0"/>
        <w:spacing w:line="360" w:lineRule="auto"/>
        <w:jc w:val="center"/>
        <w:rPr>
          <w:rFonts w:eastAsia="TimesNewRomanPSMT"/>
          <w:b/>
          <w:bCs/>
          <w:color w:val="000000"/>
          <w:sz w:val="22"/>
          <w:szCs w:val="22"/>
          <w:lang w:eastAsia="en-US"/>
        </w:rPr>
      </w:pP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 xml:space="preserve">po stronie Zamawiającego - Pani Agnieszka Jaszczur – Kierownik Wydziału Gospodarki Nieruchomościami, Infrastruktury i Ochrony  Środowiska, tel.: 41 25 43 250 wew. 37, adres email: </w:t>
      </w:r>
      <w:hyperlink r:id="rId11"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Pr="00AC3515" w:rsidRDefault="00634F6E"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Do obowiązków Wykonawcy należy: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protokolarne przejęcie terenu robót w terminie wskazanym przez Zamawiającego,</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wykonanie przedmiotu umowy przy udziale osób posiadających odpowiednie kwalifikacje, uprawnienia oraz za pomocą sprzętu posiadającego ważne badania techniczne dopuszczające go do użytku,</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sporządzenie lub zapewnienie sporządzenia, przed rozpoczęciem budowy, planu bezpieczeństwa </w:t>
      </w:r>
      <w:r w:rsidRPr="00AC3515">
        <w:rPr>
          <w:rFonts w:eastAsia="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wykorzystywanie wyłącznie materiałów i urządzeń posiadających odpowiednie dopuszczenie do stosowania </w:t>
      </w:r>
      <w:r w:rsidRPr="00AC3515">
        <w:rPr>
          <w:rFonts w:eastAsia="Calibri"/>
          <w:sz w:val="22"/>
        </w:rPr>
        <w:b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używanie i wbudowanie materiałów budowlanych, które będą używane do realizacji zamówienia spełniały wymagania wynikające z przepisów prawa, w tym w szczególności ustawy z dnia 16 kwietnia 2004 roku o wyrobach budowlanych oraz ustawy z dnia 7 lipca 1994 roku Prawo budowlane,</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bieżące przedkładanie w toku realizacji zamówienia, jak również przedłożenie na każde żądanie Zamawiającego w terminie przez niego wskazanym, atestów, certyfikatów, aprobat i innych dokumentów potwierdzających, że stosowane wyroby posiadają odpowiednie dopuszczenie do stosowania,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wydzielenie i zabezpieczenie terenu prowadzonych robót,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prowadzenie bieżącej obsługi geodezyjnej i geotechnicznej realizowanego zadania, Zamawiający zastrzega, że może żądać aktualnej inwentaryzacji geodezyjnej na każdym etapie realizacji robót, </w:t>
      </w:r>
      <w:r w:rsidRPr="00AC3515">
        <w:rPr>
          <w:rFonts w:eastAsia="Calibri"/>
          <w:sz w:val="22"/>
        </w:rPr>
        <w:br/>
        <w:t xml:space="preserve">w tym między innymi w okresie pomiędzy rozliczeniami częściowymi robót, </w:t>
      </w:r>
    </w:p>
    <w:p w:rsid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zawiadomienie użytkowników istniejącego uzbrojenia terenu o terminie rozpoczęcia prac,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zawiadomienie mieszkańców w sąsiedztwie inwestycji o planowanym terminie rozpoczęcia prac, </w:t>
      </w:r>
      <w:r w:rsidRPr="00AC3515">
        <w:rPr>
          <w:rFonts w:eastAsia="Calibri"/>
          <w:sz w:val="22"/>
        </w:rPr>
        <w:br/>
        <w:t xml:space="preserve">w tym o możliwych uciążliwościach w trakcie budowy, ewentualnych zmianach w organizacji ruchu, </w:t>
      </w:r>
      <w:r w:rsidRPr="00AC3515">
        <w:rPr>
          <w:rFonts w:eastAsia="Calibri"/>
          <w:sz w:val="22"/>
        </w:rPr>
        <w:lastRenderedPageBreak/>
        <w:t xml:space="preserve">trudnościach z dojazdem na posesje,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uzyskanie wszelkich opinii i zgód niezbędnych do należytego wykonania robót i użytkowania obiektu przez Zamawiającego oraz niezbędnych pozwoleń związanych z obsługą budowy i terenów sąsiadujących,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powiadomienie Zamawiającego oraz Inspektora nadzoru o terminie odbioru robót zanikających </w:t>
      </w:r>
      <w:r w:rsidRPr="00AC3515">
        <w:rPr>
          <w:rFonts w:eastAsia="Calibri"/>
          <w:sz w:val="22"/>
        </w:rPr>
        <w:br/>
        <w:t>i ulegających zakryciu i udział w odbiorze,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wykonie wszelkich robót towarzyszących i tymczasowych niezbędnych do wykonania przedmiotu umowy,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umożliwienie przedstawicielom Zamawiającego wglądu w roboty, a w szczególności wstępu na plac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wszelkich Wad i Usterek stwierdzonych przez osobę uprawnioną po stronie Zamawiającego </w:t>
      </w:r>
      <w:r w:rsidR="00AC3515">
        <w:rPr>
          <w:rFonts w:eastAsia="Calibri"/>
          <w:sz w:val="22"/>
        </w:rPr>
        <w:br/>
      </w:r>
      <w:r w:rsidRPr="00AC3515">
        <w:rPr>
          <w:rFonts w:eastAsia="Calibri"/>
          <w:sz w:val="22"/>
        </w:rPr>
        <w:t>w trakcie trwania robót w terminie wyznaczonym przez Zamawiającego,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zniszczenia lub uszkodzenia istniejącej infrastruktury w toku realizacji zamówienia – naprawienie jej lub wymianę na nową (przynajmniej doprowadzenie do stanu poprzedniego, sprzed uszkodzenia),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Wykonawca każdorazowo po wykonaniu prac w ramach zamówienia na nieruchomościach prywatnych zobowiązany będzie do uzyskania pisemnego oświadczenia właściciela nieruchomości o doprowadzeniu jej po przeprowadzonych robotach do stanu sprzed rozpoczęcia inwestycji, dokładna treść oświadczenia uzgodniona zostanie z Zamawiającym po podpisaniu umowy na realizację zadania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jeżeli w toku realizacji zadania wystąpią jakiekolwiek zalecenia pokontrolne organów państwowych, Wykonawca w ramach realizacji przedmiotu zamówienia będzie zobowiązany do wykonania zaleceń pokontrolnych,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przygotowanie kompletnej dokumentacji powykonawczej uzgodnionej z Inspektorem Nadzoru Inwestorskiego,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kompletnego wniosku (dokumentacja powykonawcza, dokumentacja geodezyjna przyjęta do </w:t>
      </w:r>
      <w:r w:rsidRPr="00AC3515">
        <w:rPr>
          <w:rFonts w:eastAsia="Calibri"/>
          <w:sz w:val="22"/>
        </w:rPr>
        <w:lastRenderedPageBreak/>
        <w:t xml:space="preserve">zasobów właściwego ośrodka, certyfikaty i atesty na użyte materiały oraz zamontowane urządzenia, protokoły odbioru robót budowlanych częściowych i końcowych) o zakończeniu budowy - umożliwiające użytkowanie obiektu przez Zamawiającego,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zabezpieczenie środowiska przed negatywnym wpływem prac budowlanych, zapobieganie skażeniu terenu w wyniku potencjalnych wycieków i awarii wykorzystywanego sprzętu i środków transportu na każdym etapie budowy,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również do usuwania z placu budowy na własny koszt odpadów </w:t>
      </w:r>
      <w:r w:rsidRPr="00AC3515">
        <w:rPr>
          <w:rFonts w:eastAsia="Calibri"/>
          <w:sz w:val="22"/>
        </w:rPr>
        <w:br/>
        <w:t>(np. ziemi nie nadającej się do ponownego wbudowania, gruzu), przy czym Zamawiający zdecyduje, czy materiały te Wykonawca ma usunąć. Materiały stanowiące wartość dla Zamawiającego podlegają protokolarnemu przekazaniu. Wskazane materiały Wykonawca zobowiązany jest odwieźć w miejsce wskazane przez Zamawiaj</w:t>
      </w:r>
      <w:r w:rsidR="00AC3515">
        <w:rPr>
          <w:rFonts w:eastAsia="Calibri"/>
          <w:sz w:val="22"/>
        </w:rPr>
        <w:t>ącego do 15 km od terenu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zapewnienia dozoru terenu budowy jak również ochronę znajdującego się na nim mienia,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materiałów zbędnych z placu budowy na składowisko odpadów, uporządkowanie terenu budowy, </w:t>
      </w:r>
      <w:r w:rsidR="00AC3515">
        <w:rPr>
          <w:rFonts w:eastAsia="Calibri"/>
          <w:sz w:val="22"/>
        </w:rPr>
        <w:br/>
        <w:t>z</w:t>
      </w:r>
      <w:r w:rsidRPr="00AC3515">
        <w:rPr>
          <w:rFonts w:eastAsia="Calibri"/>
          <w:sz w:val="22"/>
        </w:rPr>
        <w:t xml:space="preserve"> wywózki odpadów Wykonawca przedłoży Zamawiającemu stosowny dokument potwierdzający przekazanie odpadów do utylizacji podmiotowi uprawnionemu,</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do uporządkowania dróg dojazdowych na plac budowy, </w:t>
      </w:r>
      <w:r w:rsidRPr="00AC3515">
        <w:rPr>
          <w:rFonts w:eastAsia="Calibri"/>
          <w:sz w:val="22"/>
        </w:rPr>
        <w:br/>
        <w:t xml:space="preserve">w przypadku ich zniszczeń ciężkim sprzętem, Wykonawca zobowiązany będzie do ich odtworzenia </w:t>
      </w:r>
      <w:r w:rsidRPr="00AC3515">
        <w:rPr>
          <w:rFonts w:eastAsia="Calibri"/>
          <w:sz w:val="22"/>
        </w:rPr>
        <w:br/>
        <w:t xml:space="preserve">w sposób uzgodniony z zarządcą drogi,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zorganizowanie zaplecza budowy wraz z instalacją elektryczną i sanitarną, a także dokonanie rozliczenia z dostawcami mediów kosztów powyższych usług we własnym zakresie,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zaplecza budowy, tj. odpowiednich pomieszczeń magazynowych na składowanie materiałów </w:t>
      </w:r>
      <w:r w:rsidR="00AC3515">
        <w:rPr>
          <w:rFonts w:eastAsia="Calibri"/>
          <w:sz w:val="22"/>
        </w:rPr>
        <w:br/>
      </w:r>
      <w:r w:rsidRPr="00AC3515">
        <w:rPr>
          <w:rFonts w:eastAsia="Calibri"/>
          <w:sz w:val="22"/>
        </w:rPr>
        <w:t xml:space="preserve">i narzędzi, pomieszczeń socjalnych dla swoich pracowników, zabezpieczenie placu budowy wraz </w:t>
      </w:r>
      <w:r w:rsidR="00AC3515">
        <w:rPr>
          <w:rFonts w:eastAsia="Calibri"/>
          <w:sz w:val="22"/>
        </w:rPr>
        <w:br/>
      </w:r>
      <w:r w:rsidRPr="00AC3515">
        <w:rPr>
          <w:rFonts w:eastAsia="Calibri"/>
          <w:sz w:val="22"/>
        </w:rPr>
        <w:t>z</w:t>
      </w:r>
      <w:r w:rsidR="00AC3515">
        <w:rPr>
          <w:rFonts w:eastAsia="Calibri"/>
          <w:sz w:val="22"/>
        </w:rPr>
        <w:t xml:space="preserve"> </w:t>
      </w:r>
      <w:r w:rsidRPr="00AC3515">
        <w:rPr>
          <w:rFonts w:eastAsia="Calibri"/>
          <w:sz w:val="22"/>
        </w:rPr>
        <w:t>oznakowaniem (tablica informacyjna zawierające dane kontaktowe do osób odpowiedzialnych za budowę),</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gdy powstanie taka konieczność, uzyskanie zgody na dojazd ciężkim sprzętem od zarządcy drogi,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zapewnienie nadzoru technicznego właścicieli lub dysponentów istniejącego uzbrojenia podziemnego w trakcie prac prowadzonych w jego pobliżu - koszt zapewnienia nadzoru technicznego pozostaje po stronie Wykonawcy robót,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czasie realizacji zadania, utrzymywanie placu budowy i terenów sąsiadujących w należytym porządku, bez składowania zbędnych materiałów, odpadów i śmieci,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lastRenderedPageBreak/>
        <w:t>usuwanie wszystkich zanieczyszczeń i uszkodzeń powstałych w związku z wykonywaniem</w:t>
      </w:r>
      <w:bookmarkStart w:id="0" w:name="Bookmark"/>
      <w:r w:rsidRPr="00AC3515">
        <w:rPr>
          <w:rFonts w:eastAsia="Calibri"/>
          <w:sz w:val="22"/>
        </w:rPr>
        <w:t xml:space="preserve"> robót obejmujących w/w zadanie,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wykonanie na własny koszt wszystkich niezbędnych badań, testów i prób umożliwiających należyte wykonanie umowy i użytkowanie obiektu - przedmiotu zamówienia,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opracowanie pełnej inwentaryzacji geodezyjnej powykonawczej realizowanego zadania,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wykonanie wszystkich innych prac koniecznych do kompletnego wykonania przedmiotu zamówienia oraz jego prawidłowego funkcjonowania.</w:t>
      </w:r>
      <w:bookmarkEnd w:id="0"/>
    </w:p>
    <w:p w:rsidR="008077ED" w:rsidRPr="00AC3515"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ponosi pełną odpowiedzialność, </w:t>
      </w:r>
      <w:r w:rsidR="008B0B5E" w:rsidRPr="00AC3515">
        <w:rPr>
          <w:rFonts w:eastAsia="TimesNewRomanPSMT"/>
          <w:color w:val="000000"/>
          <w:sz w:val="22"/>
          <w:lang w:eastAsia="en-US"/>
        </w:rPr>
        <w:t>zarówno</w:t>
      </w:r>
      <w:r w:rsidRPr="00AC3515">
        <w:rPr>
          <w:rFonts w:eastAsia="TimesNewRomanPSMT"/>
          <w:color w:val="000000"/>
          <w:sz w:val="22"/>
          <w:lang w:eastAsia="en-US"/>
        </w:rPr>
        <w:t xml:space="preserve"> wobec Zamawiającego jak i wobec </w:t>
      </w:r>
      <w:r w:rsidR="008B0B5E" w:rsidRPr="00AC3515">
        <w:rPr>
          <w:rFonts w:eastAsia="TimesNewRomanPSMT"/>
          <w:color w:val="000000"/>
          <w:sz w:val="22"/>
          <w:lang w:eastAsia="en-US"/>
        </w:rPr>
        <w:t>osób</w:t>
      </w:r>
      <w:r w:rsidRPr="00AC3515">
        <w:rPr>
          <w:rFonts w:eastAsia="TimesNewRomanPSMT"/>
          <w:color w:val="000000"/>
          <w:sz w:val="22"/>
          <w:lang w:eastAsia="en-US"/>
        </w:rPr>
        <w:t xml:space="preserve"> trzecich,</w:t>
      </w:r>
      <w:r w:rsidR="00C0080D" w:rsidRPr="00AC3515">
        <w:rPr>
          <w:rFonts w:eastAsia="TimesNewRomanPSMT"/>
          <w:color w:val="000000"/>
          <w:sz w:val="22"/>
          <w:lang w:eastAsia="en-US"/>
        </w:rPr>
        <w:t xml:space="preserve"> </w:t>
      </w:r>
      <w:r w:rsidRPr="00AC3515">
        <w:rPr>
          <w:rFonts w:eastAsia="TimesNewRomanPSMT"/>
          <w:color w:val="000000"/>
          <w:sz w:val="22"/>
          <w:lang w:eastAsia="en-US"/>
        </w:rPr>
        <w:t xml:space="preserve">z tytułu wszelkich </w:t>
      </w:r>
      <w:r w:rsidR="008B0B5E" w:rsidRPr="00AC3515">
        <w:rPr>
          <w:rFonts w:eastAsia="TimesNewRomanPSMT"/>
          <w:color w:val="000000"/>
          <w:sz w:val="22"/>
          <w:lang w:eastAsia="en-US"/>
        </w:rPr>
        <w:t>szkód</w:t>
      </w:r>
      <w:r w:rsidRPr="00AC3515">
        <w:rPr>
          <w:rFonts w:eastAsia="TimesNewRomanPSMT"/>
          <w:color w:val="000000"/>
          <w:sz w:val="22"/>
          <w:lang w:eastAsia="en-US"/>
        </w:rPr>
        <w:t xml:space="preserve"> i strat wynikłych lub związanych </w:t>
      </w:r>
      <w:r w:rsidR="00C0080D" w:rsidRPr="00AC3515">
        <w:rPr>
          <w:rFonts w:eastAsia="TimesNewRomanPSMT"/>
          <w:color w:val="000000"/>
          <w:sz w:val="22"/>
          <w:lang w:eastAsia="en-US"/>
        </w:rPr>
        <w:t xml:space="preserve">bezpośrednio lub pośrednio </w:t>
      </w:r>
      <w:r w:rsidRPr="00AC3515">
        <w:rPr>
          <w:rFonts w:eastAsia="TimesNewRomanPSMT"/>
          <w:color w:val="000000"/>
          <w:sz w:val="22"/>
          <w:lang w:eastAsia="en-US"/>
        </w:rPr>
        <w:t xml:space="preserve">z realizacją </w:t>
      </w:r>
      <w:r w:rsidR="00C0080D" w:rsidRPr="00AC3515">
        <w:rPr>
          <w:rFonts w:eastAsia="TimesNewRomanPSMT"/>
          <w:color w:val="000000"/>
          <w:sz w:val="22"/>
          <w:lang w:eastAsia="en-US"/>
        </w:rPr>
        <w:t xml:space="preserve">przedmiotu umowy. </w:t>
      </w:r>
    </w:p>
    <w:p w:rsidR="0099445D" w:rsidRPr="0044634B"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Wykonawca zobowiązuje się do organizacji i realizacji na własny koszt i ryzyko dostaw urządzeń,</w:t>
      </w:r>
      <w:r w:rsidR="00AC3515" w:rsidRPr="00AC3515">
        <w:rPr>
          <w:rFonts w:eastAsia="TimesNewRomanPSMT"/>
          <w:color w:val="000000"/>
          <w:sz w:val="22"/>
          <w:lang w:eastAsia="en-US"/>
        </w:rPr>
        <w:t xml:space="preserve"> </w:t>
      </w:r>
      <w:r w:rsidR="008B0B5E" w:rsidRPr="00AC3515">
        <w:rPr>
          <w:rFonts w:eastAsia="TimesNewRomanPSMT"/>
          <w:color w:val="000000"/>
          <w:sz w:val="22"/>
          <w:lang w:eastAsia="en-US"/>
        </w:rPr>
        <w:t>materiałów</w:t>
      </w:r>
      <w:r w:rsidRPr="00AC3515">
        <w:rPr>
          <w:rFonts w:eastAsia="TimesNewRomanPSMT"/>
          <w:color w:val="000000"/>
          <w:sz w:val="22"/>
          <w:lang w:eastAsia="en-US"/>
        </w:rPr>
        <w:t xml:space="preserve"> </w:t>
      </w:r>
      <w:r w:rsidR="0044634B">
        <w:rPr>
          <w:rFonts w:eastAsia="TimesNewRomanPSMT"/>
          <w:color w:val="000000"/>
          <w:sz w:val="22"/>
          <w:lang w:eastAsia="en-US"/>
        </w:rPr>
        <w:br/>
      </w:r>
      <w:r w:rsidRPr="00AC3515">
        <w:rPr>
          <w:rFonts w:eastAsia="TimesNewRomanPSMT"/>
          <w:color w:val="000000"/>
          <w:sz w:val="22"/>
          <w:lang w:eastAsia="en-US"/>
        </w:rPr>
        <w:t xml:space="preserve">i innych </w:t>
      </w:r>
      <w:r w:rsidR="008B0B5E" w:rsidRPr="00AC3515">
        <w:rPr>
          <w:rFonts w:eastAsia="TimesNewRomanPSMT"/>
          <w:color w:val="000000"/>
          <w:sz w:val="22"/>
          <w:lang w:eastAsia="en-US"/>
        </w:rPr>
        <w:t>elementów</w:t>
      </w:r>
      <w:r w:rsidRPr="00AC3515">
        <w:rPr>
          <w:rFonts w:eastAsia="TimesNewRomanPSMT"/>
          <w:color w:val="000000"/>
          <w:sz w:val="22"/>
          <w:lang w:eastAsia="en-US"/>
        </w:rPr>
        <w:t xml:space="preserve"> wymaganych do realizacji </w:t>
      </w:r>
      <w:r w:rsidR="00AC3515" w:rsidRPr="00AC3515">
        <w:rPr>
          <w:rFonts w:eastAsia="TimesNewRomanPSMT"/>
          <w:color w:val="000000"/>
          <w:sz w:val="22"/>
          <w:lang w:eastAsia="en-US"/>
        </w:rPr>
        <w:t>niniejszej umowy</w:t>
      </w:r>
      <w:r w:rsidRPr="00AC3515">
        <w:rPr>
          <w:rFonts w:eastAsia="TimesNewRomanPSMT"/>
          <w:color w:val="000000"/>
          <w:sz w:val="22"/>
          <w:lang w:eastAsia="en-US"/>
        </w:rPr>
        <w:t>, w tym do składowania</w:t>
      </w:r>
      <w:r w:rsidR="00AC3515" w:rsidRPr="00AC3515">
        <w:rPr>
          <w:rFonts w:eastAsia="TimesNewRomanPSMT"/>
          <w:color w:val="000000"/>
          <w:sz w:val="22"/>
          <w:lang w:eastAsia="en-US"/>
        </w:rPr>
        <w:t xml:space="preserve"> </w:t>
      </w:r>
      <w:r w:rsidRPr="00AC3515">
        <w:rPr>
          <w:rFonts w:eastAsia="TimesNewRomanPSMT"/>
          <w:color w:val="000000"/>
          <w:sz w:val="22"/>
          <w:lang w:eastAsia="en-US"/>
        </w:rPr>
        <w:t>ich zgodnie ze sztuką budowlaną, wiedzą i doświadczeniem profesjonalisty oraz zgodnie z powszechnieobowiązującymi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7</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przekazanie placu budowy – 14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 10 miesięcy od dnia podpisania umowy </w:t>
      </w:r>
      <w:r w:rsidR="00AC3515">
        <w:rPr>
          <w:rFonts w:eastAsia="TimesNewRomanPSMT"/>
          <w:color w:val="000000"/>
          <w:sz w:val="22"/>
          <w:lang w:eastAsia="en-US"/>
        </w:rPr>
        <w:br/>
      </w:r>
      <w:r w:rsidR="00AC3515" w:rsidRPr="00AC3515">
        <w:rPr>
          <w:rFonts w:eastAsia="TimesNewRomanPSMT"/>
          <w:color w:val="000000"/>
          <w:sz w:val="22"/>
          <w:lang w:eastAsia="en-US"/>
        </w:rPr>
        <w:t>tj. do</w:t>
      </w:r>
      <w:r w:rsidRPr="00AC3515">
        <w:rPr>
          <w:rFonts w:eastAsia="TimesNewRomanPSMT"/>
          <w:color w:val="000000"/>
          <w:sz w:val="22"/>
          <w:lang w:eastAsia="en-US"/>
        </w:rPr>
        <w:t xml:space="preserve">: </w:t>
      </w:r>
      <w:r w:rsidRPr="00AC3515">
        <w:rPr>
          <w:rFonts w:eastAsia="TimesNewRomanPSMT"/>
          <w:b/>
          <w:bCs/>
          <w:color w:val="000000"/>
          <w:sz w:val="22"/>
          <w:lang w:eastAsia="en-US"/>
        </w:rPr>
        <w:t>…………………</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44634B" w:rsidRPr="0044634B" w:rsidRDefault="0044634B"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odbiór techniczny przez zarządcę sieci tj. Zakład Gospodarki Komunalnej w Suchedniowie, </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w:t>
      </w:r>
      <w:r w:rsidRPr="0044634B">
        <w:rPr>
          <w:rFonts w:eastAsia="TimesNewRomanPSMT"/>
          <w:color w:val="000000"/>
          <w:sz w:val="22"/>
          <w:lang w:eastAsia="en-US"/>
        </w:rPr>
        <w:lastRenderedPageBreak/>
        <w:t xml:space="preserve">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proofErr w:type="spellStart"/>
      <w:r w:rsidR="0084426D" w:rsidRPr="00F377D9">
        <w:rPr>
          <w:rFonts w:eastAsia="TimesNewRomanPSMT"/>
          <w:color w:val="000000"/>
          <w:sz w:val="22"/>
          <w:lang w:eastAsia="en-US"/>
        </w:rPr>
        <w:t>którym</w:t>
      </w:r>
      <w:r w:rsidRPr="00F377D9">
        <w:rPr>
          <w:rFonts w:eastAsia="TimesNewRomanPSMT"/>
          <w:color w:val="000000"/>
          <w:sz w:val="22"/>
          <w:lang w:eastAsia="en-US"/>
        </w:rPr>
        <w:t>mowa</w:t>
      </w:r>
      <w:proofErr w:type="spellEnd"/>
      <w:r w:rsidRPr="00F377D9">
        <w:rPr>
          <w:rFonts w:eastAsia="TimesNewRomanPSMT"/>
          <w:color w:val="000000"/>
          <w:sz w:val="22"/>
          <w:lang w:eastAsia="en-US"/>
        </w:rPr>
        <w:t xml:space="preserve">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lastRenderedPageBreak/>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Pr>
          <w:rFonts w:eastAsia="Calibri"/>
          <w:sz w:val="22"/>
          <w:szCs w:val="22"/>
          <w:lang w:eastAsia="en-US"/>
        </w:rPr>
        <w:t xml:space="preserve">procentowego zaawansowania prac, z tym że pierwsza faktura częściowa może zostać wystawiona i złożona do Zamawiającego dopiero w styczniu 2022 r.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100% w roku 2022. </w:t>
      </w:r>
      <w:r w:rsidRPr="00F377D9">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lastRenderedPageBreak/>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muwynagrodzenia,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 xml:space="preserve">amawiający dokona bezpośredniej zapłaty na rzecz podwykonawcy lub dalszego podwykonawcywyłącznie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w:t>
      </w:r>
      <w:r w:rsidRPr="00DC66E6">
        <w:rPr>
          <w:rFonts w:eastAsia="Tahoma"/>
          <w:iCs/>
          <w:sz w:val="22"/>
        </w:rPr>
        <w:lastRenderedPageBreak/>
        <w:t>(</w:t>
      </w:r>
      <w:proofErr w:type="spellStart"/>
      <w:r w:rsidRPr="00DC66E6">
        <w:rPr>
          <w:rFonts w:eastAsia="Tahoma"/>
          <w:iCs/>
          <w:sz w:val="22"/>
        </w:rPr>
        <w:t>splitpayment</w:t>
      </w:r>
      <w:proofErr w:type="spellEnd"/>
      <w:r w:rsidRPr="00DC66E6">
        <w:rPr>
          <w:rFonts w:eastAsia="Tahoma"/>
          <w:iCs/>
          <w:sz w:val="22"/>
        </w:rPr>
        <w: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lastRenderedPageBreak/>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powstałe po odbiorze, lecz z przyczyntkwiących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niezbędnydo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tych okolicznościach. W takim 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 xml:space="preserve">mowy odstąpić jeszcze przed upływem tego </w:t>
      </w:r>
      <w:r w:rsidRPr="00B114D4">
        <w:rPr>
          <w:rFonts w:eastAsia="TimesNewRomanPSMT"/>
          <w:sz w:val="22"/>
          <w:szCs w:val="22"/>
          <w:lang w:eastAsia="en-US"/>
        </w:rPr>
        <w:lastRenderedPageBreak/>
        <w:t>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mowy przez Wykonawcę z przyczyn nieleżących po stronie Zamawiającego wwysokości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lastRenderedPageBreak/>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dopełnionoprzedmiotowego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mowy, Wykonawca zapłaci Zamawiającemu karę umowną w wysokości 1% ustalonegow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Kary Umowne podlegają stosownemu łączeniu, przy czym łączna wysokość egzekwowanych kar niemoże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lastRenderedPageBreak/>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ustawowych określonych w art.455ustawy Pzp.</w:t>
      </w:r>
    </w:p>
    <w:p w:rsidR="008077ED" w:rsidRPr="00805172" w:rsidRDefault="008077ED" w:rsidP="00B2409F">
      <w:pPr>
        <w:pStyle w:val="Akapitzlist"/>
        <w:numPr>
          <w:ilvl w:val="0"/>
          <w:numId w:val="18"/>
        </w:numPr>
        <w:autoSpaceDE w:val="0"/>
        <w:autoSpaceDN w:val="0"/>
        <w:adjustRightInd w:val="0"/>
        <w:spacing w:line="276"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Zamawiający zgodnie z przepisem art. 455ust. 1 pkt 1 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 xml:space="preserve">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jeśli pojawiły się okoliczności natury obiektywnej, których nie można było przewidziećw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uporczywie przez okres co najmniej 3 dni kalendarzowych, uniemożliwiających lub znacznieutrudniających: prowadzenie robót budowlanych, przeprowadzenie prób lub sprawdzeń, lubdokonywanie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lastRenderedPageBreak/>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Pzp,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trakciepostępowania;</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zdarzenie/zdarzeniastanowią siłę wyższą rozstrzygające jest stanowisko Zamawiającego;</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 xml:space="preserve">ad lub konieczności uzupełnienia dokumentacji technicznej, stanowiącej opisprzedmiotu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A848F5" w:rsidRDefault="00A848F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bookmarkStart w:id="1" w:name="_GoBack"/>
      <w:bookmarkEnd w:id="1"/>
      <w:r w:rsidRPr="00F04EDF">
        <w:rPr>
          <w:rFonts w:eastAsia="TimesNewRomanPSMT"/>
          <w:b/>
          <w:bCs/>
          <w:color w:val="000000"/>
          <w:sz w:val="22"/>
          <w:lang w:eastAsia="en-US"/>
        </w:rPr>
        <w:lastRenderedPageBreak/>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Zamawiający, zgodnie z przepisem art. 95 ustawy Pzp,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xml:space="preserve">, jeżeli wykonanie tych czynności polegana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zoryginałem odpowiednio przez Wykonawcę lub Wykonawcę oraz podwykonawcę,zanonimizowana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zgodnie zpowszechnie obowiązującymi przepisami prawa z zakresu ochrony danych osobowych, w</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czynnościokreślone przez Zamawiającego w terminie wskazanym przez Zamawiającego będzie traktowanejako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DB506C"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767E95" w:rsidRPr="00F67063" w:rsidRDefault="00767E95" w:rsidP="00F67063">
      <w:pPr>
        <w:autoSpaceDE w:val="0"/>
        <w:autoSpaceDN w:val="0"/>
        <w:adjustRightInd w:val="0"/>
        <w:spacing w:line="360" w:lineRule="auto"/>
        <w:jc w:val="both"/>
        <w:rPr>
          <w:rFonts w:eastAsia="TimesNewRomanPSMT"/>
          <w:b/>
          <w:bCs/>
          <w:color w:val="000000"/>
          <w:sz w:val="22"/>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lastRenderedPageBreak/>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r w:rsidR="006426A7" w:rsidRPr="00F67063">
        <w:rPr>
          <w:rFonts w:eastAsia="TimesNewRomanPSMT"/>
          <w:color w:val="000000"/>
          <w:sz w:val="22"/>
          <w:lang w:eastAsia="en-US"/>
        </w:rPr>
        <w:tab/>
      </w: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P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12"/>
      <w:footerReference w:type="default" r:id="rId13"/>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45" w:rsidRDefault="00A00D45" w:rsidP="008D51B0">
      <w:r>
        <w:separator/>
      </w:r>
    </w:p>
  </w:endnote>
  <w:endnote w:type="continuationSeparator" w:id="0">
    <w:p w:rsidR="00A00D45" w:rsidRDefault="00A00D45"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285253" w:rsidRPr="00285253">
          <w:rPr>
            <w:rFonts w:eastAsiaTheme="majorEastAsia"/>
            <w:noProof/>
            <w:sz w:val="18"/>
            <w:szCs w:val="18"/>
          </w:rPr>
          <w:t>2</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45" w:rsidRDefault="00A00D45" w:rsidP="008D51B0">
      <w:r>
        <w:separator/>
      </w:r>
    </w:p>
  </w:footnote>
  <w:footnote w:type="continuationSeparator" w:id="0">
    <w:p w:rsidR="00A00D45" w:rsidRDefault="00A00D45"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Oznaczenie postępowania: GNI.271.1.2021.AJ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0"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34"/>
  </w:num>
  <w:num w:numId="5">
    <w:abstractNumId w:val="35"/>
  </w:num>
  <w:num w:numId="6">
    <w:abstractNumId w:val="32"/>
  </w:num>
  <w:num w:numId="7">
    <w:abstractNumId w:val="22"/>
  </w:num>
  <w:num w:numId="8">
    <w:abstractNumId w:val="4"/>
  </w:num>
  <w:num w:numId="9">
    <w:abstractNumId w:val="25"/>
  </w:num>
  <w:num w:numId="10">
    <w:abstractNumId w:val="10"/>
  </w:num>
  <w:num w:numId="11">
    <w:abstractNumId w:val="1"/>
  </w:num>
  <w:num w:numId="12">
    <w:abstractNumId w:val="18"/>
  </w:num>
  <w:num w:numId="13">
    <w:abstractNumId w:val="27"/>
  </w:num>
  <w:num w:numId="14">
    <w:abstractNumId w:val="3"/>
  </w:num>
  <w:num w:numId="15">
    <w:abstractNumId w:val="11"/>
  </w:num>
  <w:num w:numId="16">
    <w:abstractNumId w:val="26"/>
  </w:num>
  <w:num w:numId="17">
    <w:abstractNumId w:val="28"/>
  </w:num>
  <w:num w:numId="18">
    <w:abstractNumId w:val="5"/>
  </w:num>
  <w:num w:numId="19">
    <w:abstractNumId w:val="7"/>
  </w:num>
  <w:num w:numId="20">
    <w:abstractNumId w:val="6"/>
  </w:num>
  <w:num w:numId="21">
    <w:abstractNumId w:val="33"/>
  </w:num>
  <w:num w:numId="22">
    <w:abstractNumId w:val="9"/>
  </w:num>
  <w:num w:numId="23">
    <w:abstractNumId w:val="8"/>
  </w:num>
  <w:num w:numId="24">
    <w:abstractNumId w:val="12"/>
  </w:num>
  <w:num w:numId="25">
    <w:abstractNumId w:val="15"/>
  </w:num>
  <w:num w:numId="26">
    <w:abstractNumId w:val="24"/>
  </w:num>
  <w:num w:numId="27">
    <w:abstractNumId w:val="13"/>
  </w:num>
  <w:num w:numId="28">
    <w:abstractNumId w:val="14"/>
  </w:num>
  <w:num w:numId="29">
    <w:abstractNumId w:val="17"/>
  </w:num>
  <w:num w:numId="30">
    <w:abstractNumId w:val="30"/>
  </w:num>
  <w:num w:numId="31">
    <w:abstractNumId w:val="2"/>
  </w:num>
  <w:num w:numId="32">
    <w:abstractNumId w:val="16"/>
  </w:num>
  <w:num w:numId="33">
    <w:abstractNumId w:val="0"/>
  </w:num>
  <w:num w:numId="34">
    <w:abstractNumId w:val="20"/>
  </w:num>
  <w:num w:numId="35">
    <w:abstractNumId w:val="31"/>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C0F43"/>
    <w:rsid w:val="000E5D4D"/>
    <w:rsid w:val="0011708E"/>
    <w:rsid w:val="0013097B"/>
    <w:rsid w:val="001A26DA"/>
    <w:rsid w:val="001A6011"/>
    <w:rsid w:val="001D493F"/>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848F5"/>
    <w:rsid w:val="00AC3515"/>
    <w:rsid w:val="00AC4A4E"/>
    <w:rsid w:val="00AC70AE"/>
    <w:rsid w:val="00AF1141"/>
    <w:rsid w:val="00B114D4"/>
    <w:rsid w:val="00B2409F"/>
    <w:rsid w:val="00B56CE8"/>
    <w:rsid w:val="00B56E60"/>
    <w:rsid w:val="00B82251"/>
    <w:rsid w:val="00BA12B6"/>
    <w:rsid w:val="00BA5356"/>
    <w:rsid w:val="00BE7D8A"/>
    <w:rsid w:val="00C0080D"/>
    <w:rsid w:val="00C12D59"/>
    <w:rsid w:val="00C166C5"/>
    <w:rsid w:val="00C27263"/>
    <w:rsid w:val="00C36FC5"/>
    <w:rsid w:val="00C4693F"/>
    <w:rsid w:val="00C706B2"/>
    <w:rsid w:val="00CB6255"/>
    <w:rsid w:val="00CD4A8C"/>
    <w:rsid w:val="00CF51EB"/>
    <w:rsid w:val="00D02DC5"/>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jaszczur@suchednio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18</Pages>
  <Words>7057</Words>
  <Characters>42347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6</cp:revision>
  <cp:lastPrinted>2021-06-30T12:30:00Z</cp:lastPrinted>
  <dcterms:created xsi:type="dcterms:W3CDTF">2021-08-22T17:49:00Z</dcterms:created>
  <dcterms:modified xsi:type="dcterms:W3CDTF">2021-08-23T11:34:00Z</dcterms:modified>
</cp:coreProperties>
</file>